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F013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94B18E" w:rsidR="00093CA9" w:rsidRDefault="007C6E55" w:rsidP="00093CA9">
            <w:r>
              <w:t>MinterEllison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27CFD52" w:rsidR="00093CA9" w:rsidRDefault="00310C15" w:rsidP="00093CA9">
            <w:r>
              <w:t>Australia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2961119" w:rsidR="00093CA9" w:rsidRPr="00225070" w:rsidRDefault="00C80765" w:rsidP="00310C15">
            <w:pPr>
              <w:spacing w:before="0" w:after="0"/>
              <w:rPr>
                <w:rFonts w:cstheme="minorHAnsi"/>
                <w:color w:val="000000"/>
              </w:rPr>
            </w:pPr>
            <w:r w:rsidRPr="00225070">
              <w:rPr>
                <w:rFonts w:cstheme="minorHAnsi"/>
                <w:color w:val="000000"/>
              </w:rPr>
              <w:t>Net Zero Economy Authority Act</w:t>
            </w:r>
            <w:r w:rsidR="000B4D06">
              <w:rPr>
                <w:rFonts w:cstheme="minorHAnsi"/>
                <w:color w:val="000000"/>
              </w:rPr>
              <w:t xml:space="preserve"> 2024 (Cth)</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2C5AC8D" w:rsidR="00093CA9" w:rsidRDefault="00225070" w:rsidP="00093CA9">
            <w:hyperlink r:id="rId19" w:history="1">
              <w:r w:rsidRPr="00424A87">
                <w:rPr>
                  <w:rStyle w:val="Hyperlink"/>
                </w:rPr>
                <w:t>Web-archived link</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C90269"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EF237AE" w:rsidR="00093CA9" w:rsidRDefault="00C8076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81493A0"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D4EFA55"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537DD6F" w14:textId="77777777" w:rsidR="00225070" w:rsidRDefault="00225070" w:rsidP="00225070">
            <w:r>
              <w:t>In 2024, Australia passed the Net Zero Economy Authority Act, establishing a national regulatory framework to manage the workforce impacts of coal and gas-fired power station closures. A key feature of the Act is that it places legal obligations on companies whose operations trigger major workforce transitions—such as the closure of fossil fuel facilities—to develop and implement Transition Plans.</w:t>
            </w:r>
          </w:p>
          <w:p w14:paraId="2B36E802" w14:textId="77777777" w:rsidR="00225070" w:rsidRDefault="00225070" w:rsidP="00225070">
            <w:r>
              <w:t>These plans must outline how the company will support affected workers through career planning, financial advice, retraining, and redeployment. This is operationalised through mechanisms like the Energy Industry Jobs Plan and Regional Workforce Transition Plans, which ensure that support is tailored to local needs and delivered in a timely, structured manner.</w:t>
            </w:r>
          </w:p>
          <w:p w14:paraId="18257824" w14:textId="746F51CA" w:rsidR="00093CA9" w:rsidRDefault="00225070" w:rsidP="00225070">
            <w:r>
              <w:t>Importantly, this requirement marks a significant evolution in Australia’s approach to transition planning regulation. It shifts responsibility from voluntary or ad hoc corporate action to a regulated, enforceable framework, aligning with broader national efforts to ensure a just and equitable transition to a net zero economy.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B0FC748" w:rsidR="00093CA9" w:rsidRDefault="0022507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F709DDE" w:rsidR="00093CA9" w:rsidRPr="00173D7C" w:rsidRDefault="00225070"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B44CC65" w:rsidR="00093CA9" w:rsidRPr="00173D7C" w:rsidRDefault="00225070"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5F8B37C" w:rsidR="00093CA9" w:rsidRDefault="00225070"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67ECF24" w:rsidR="00093CA9" w:rsidRPr="006B7B0D" w:rsidRDefault="00225070" w:rsidP="00093CA9">
            <w:r w:rsidRPr="00225070">
              <w:t>Net Zero Economy Authority</w:t>
            </w:r>
            <w:r>
              <w:t xml:space="preserve">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751B98C" w:rsidR="00093CA9" w:rsidRPr="006B7B0D" w:rsidRDefault="0022507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EA2F3A2" w:rsidR="00093CA9" w:rsidRPr="006B7B0D" w:rsidRDefault="00225070" w:rsidP="00093CA9">
            <w:r w:rsidRPr="00225070">
              <w:t> Board of the Authority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09DD7E95" w:rsidR="00093CA9" w:rsidRPr="006B7B0D" w:rsidRDefault="00225070"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8ECB3CF" w:rsidR="00093CA9" w:rsidRPr="006B7B0D" w:rsidRDefault="00225070" w:rsidP="00093CA9">
            <w:r w:rsidRPr="00225070">
              <w:t>Department of Industry, Science and Resources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0EF34387" w:rsidR="00093CA9" w:rsidRPr="006B7B0D" w:rsidRDefault="00225070"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A2D9FAE"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4353CBD9"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699C1D6" w:rsidR="00093CA9" w:rsidRDefault="0078429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15A00DA" w:rsidR="00093CA9" w:rsidRPr="008017F9" w:rsidRDefault="0078429C" w:rsidP="00093CA9">
            <w:pPr>
              <w:keepNext/>
              <w:rPr>
                <w:color w:val="000000" w:themeColor="text1"/>
              </w:rPr>
            </w:pPr>
            <w:r>
              <w:rPr>
                <w:color w:val="000000" w:themeColor="text1"/>
              </w:rPr>
              <w:t>The Authority oversees the reporting requirements under the Act, and the Board oversees the strategic direction of the Authority.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933328"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33328" w:rsidRDefault="00107CE2" w:rsidP="00DD3144">
            <w:pPr>
              <w:rPr>
                <w:lang w:val="fr-FR"/>
              </w:rPr>
            </w:pPr>
            <w:r w:rsidRPr="00933328">
              <w:rPr>
                <w:lang w:val="fr-FR"/>
              </w:rPr>
              <w:t>Minimum revenue (Enter minimum revenue)</w:t>
            </w:r>
          </w:p>
        </w:tc>
        <w:tc>
          <w:tcPr>
            <w:tcW w:w="4910" w:type="dxa"/>
            <w:gridSpan w:val="7"/>
            <w:shd w:val="clear" w:color="auto" w:fill="auto"/>
            <w:vAlign w:val="center"/>
          </w:tcPr>
          <w:p w14:paraId="2518BD70" w14:textId="77777777" w:rsidR="00524D54" w:rsidRPr="00933328" w:rsidRDefault="00524D54" w:rsidP="00DD3144">
            <w:pPr>
              <w:rPr>
                <w:lang w:val="fr-FR"/>
              </w:rPr>
            </w:pPr>
          </w:p>
        </w:tc>
      </w:tr>
      <w:tr w:rsidR="00524D54" w:rsidRPr="0093332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00C02492"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6479542"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335E2DC"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1595A67A" w:rsidR="00C4670C" w:rsidRPr="00C37D48" w:rsidRDefault="00C4670C" w:rsidP="00C37D48">
            <w:pPr>
              <w:rPr>
                <w:rFonts w:ascii="Calibri" w:hAnsi="Calibri" w:cs="Calibri"/>
              </w:rPr>
            </w:pPr>
          </w:p>
        </w:tc>
        <w:tc>
          <w:tcPr>
            <w:tcW w:w="1614" w:type="dxa"/>
            <w:vAlign w:val="center"/>
          </w:tcPr>
          <w:p w14:paraId="26F38350" w14:textId="254D0E14"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1821EE48"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68BF11E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4D5CDA49" w:rsidR="00C4670C" w:rsidRPr="00C37D48" w:rsidRDefault="00C4670C" w:rsidP="00C37D48">
            <w:pPr>
              <w:rPr>
                <w:rFonts w:ascii="Calibri" w:hAnsi="Calibri" w:cs="Calibri"/>
              </w:rPr>
            </w:pPr>
          </w:p>
        </w:tc>
        <w:tc>
          <w:tcPr>
            <w:tcW w:w="1614" w:type="dxa"/>
            <w:vAlign w:val="center"/>
          </w:tcPr>
          <w:p w14:paraId="10625186" w14:textId="051EAB48"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49D8CE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B331FAF"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353450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C8C1030"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455B1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16860CA2"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2F9F53A2"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4CDD6BD0" w:rsidR="004F276F" w:rsidRPr="00C37D48" w:rsidRDefault="00D203A0"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3DC35009" w:rsidR="004F276F" w:rsidRPr="00C37D48" w:rsidRDefault="00D203A0"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4DBBEEC1"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F041346" w:rsidR="004F276F" w:rsidRPr="00C37D48" w:rsidRDefault="00D203A0"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31B1389D" w:rsidR="004F276F" w:rsidRPr="00C37D48" w:rsidRDefault="00D203A0"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30C35761" w:rsidR="004F276F" w:rsidRPr="00C37D48" w:rsidRDefault="00D203A0"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66553B7A" w:rsidR="004F276F" w:rsidRPr="00C37D48" w:rsidRDefault="00D203A0"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9762747" w:rsidR="004F276F" w:rsidRPr="00C37D48" w:rsidRDefault="00D203A0"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376E8265" w:rsidR="004F276F" w:rsidRPr="00C37D48" w:rsidRDefault="00D203A0"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6E7FCA3A" w:rsidR="004F276F" w:rsidRPr="00C37D48" w:rsidRDefault="00D203A0"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0D5CF092" w:rsidR="004F276F" w:rsidRPr="00C37D48" w:rsidRDefault="00D203A0"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DFB8591" w:rsidR="004F276F" w:rsidRPr="00C37D48" w:rsidRDefault="00D203A0"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4DC50484" w:rsidR="004F276F" w:rsidRPr="00C37D48" w:rsidRDefault="00D203A0"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3612C38" w:rsidR="004F276F" w:rsidRPr="00C37D48" w:rsidRDefault="00D203A0"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5AE47CC4" w:rsidR="004F276F" w:rsidRPr="00C37D48" w:rsidRDefault="00D203A0"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547E85D" w:rsidR="004F276F" w:rsidRPr="00C37D48" w:rsidRDefault="00D203A0"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F306090" w:rsidR="004F276F" w:rsidRPr="00C37D48" w:rsidRDefault="00D203A0"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204241DF" w:rsidR="004F276F" w:rsidRPr="00C37D48" w:rsidRDefault="00D203A0"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3FEA485" w:rsidR="004F276F" w:rsidRPr="00C37D48" w:rsidRDefault="00D203A0"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9E7F70B" w:rsidR="004F276F" w:rsidRPr="00C37D48" w:rsidRDefault="00D203A0"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CD8E951" w:rsidR="004F276F" w:rsidRPr="00C37D48" w:rsidRDefault="00D203A0"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9B2A28A" w:rsidR="004F276F" w:rsidRPr="00C37D48" w:rsidRDefault="00D203A0"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5CB2E614" w:rsidR="004F276F" w:rsidRPr="008A2CBA" w:rsidRDefault="00D203A0" w:rsidP="00D203A0">
            <w:pPr>
              <w:rPr>
                <w:rFonts w:ascii="Calibri" w:hAnsi="Calibri" w:cs="Calibri"/>
                <w:lang w:val="en-AU"/>
              </w:rPr>
            </w:pPr>
            <w:r w:rsidRPr="00D203A0">
              <w:rPr>
                <w:rFonts w:ascii="Calibri" w:hAnsi="Calibri" w:cs="Calibri"/>
                <w:lang w:val="en-AU"/>
              </w:rPr>
              <w:t>The </w:t>
            </w:r>
            <w:r w:rsidRPr="008A2CBA">
              <w:rPr>
                <w:rFonts w:ascii="Calibri" w:hAnsi="Calibri" w:cs="Calibri"/>
                <w:lang w:val="en-AU"/>
              </w:rPr>
              <w:t>Net Zero Economy Authority Act 2024</w:t>
            </w:r>
            <w:r w:rsidRPr="00D203A0">
              <w:rPr>
                <w:rFonts w:ascii="Calibri" w:hAnsi="Calibri" w:cs="Calibri"/>
                <w:lang w:val="en-AU"/>
              </w:rPr>
              <w:t> is triggered when a company initiates or announces the </w:t>
            </w:r>
            <w:r w:rsidRPr="008A2CBA">
              <w:rPr>
                <w:rFonts w:ascii="Calibri" w:hAnsi="Calibri" w:cs="Calibri"/>
                <w:lang w:val="en-AU"/>
              </w:rPr>
              <w:t>closure (in whole or in part) of a coal- or gas-fired power station</w:t>
            </w:r>
            <w:r w:rsidRPr="00D203A0">
              <w:rPr>
                <w:rFonts w:ascii="Calibri" w:hAnsi="Calibri" w:cs="Calibri"/>
                <w:lang w:val="en-AU"/>
              </w:rPr>
              <w:t>. This event prompts the Authority to issue a </w:t>
            </w:r>
            <w:r w:rsidRPr="008A2CBA">
              <w:rPr>
                <w:rFonts w:ascii="Calibri" w:hAnsi="Calibri" w:cs="Calibri"/>
                <w:lang w:val="en-AU"/>
              </w:rPr>
              <w:t>"trigger notice"</w:t>
            </w:r>
            <w:r w:rsidRPr="00D203A0">
              <w:rPr>
                <w:rFonts w:ascii="Calibri" w:hAnsi="Calibri" w:cs="Calibri"/>
                <w:lang w:val="en-AU"/>
              </w:rPr>
              <w:t>, which activates its mandate to coordinate support for affected workers, employers, and communities. There are </w:t>
            </w:r>
            <w:r w:rsidRPr="008A2CBA">
              <w:rPr>
                <w:rFonts w:ascii="Calibri" w:hAnsi="Calibri" w:cs="Calibri"/>
                <w:lang w:val="en-AU"/>
              </w:rPr>
              <w:t>no fixed quantitative thresholds</w:t>
            </w:r>
            <w:r w:rsidRPr="00D203A0">
              <w:rPr>
                <w:rFonts w:ascii="Calibri" w:hAnsi="Calibri" w:cs="Calibri"/>
                <w:lang w:val="en-AU"/>
              </w:rPr>
              <w:t> like emissions levels or company size; rather, the trigger is event-based and tied to the </w:t>
            </w:r>
            <w:r w:rsidRPr="008A2CBA">
              <w:rPr>
                <w:rFonts w:ascii="Calibri" w:hAnsi="Calibri" w:cs="Calibri"/>
                <w:lang w:val="en-AU"/>
              </w:rPr>
              <w:t>economic and social impact</w:t>
            </w:r>
            <w:r w:rsidRPr="00D203A0">
              <w:rPr>
                <w:rFonts w:ascii="Calibri" w:hAnsi="Calibri" w:cs="Calibri"/>
                <w:lang w:val="en-AU"/>
              </w:rPr>
              <w:t> of the closure. The companies targeted under this Act are those </w:t>
            </w:r>
            <w:r w:rsidRPr="008A2CBA">
              <w:rPr>
                <w:rFonts w:ascii="Calibri" w:hAnsi="Calibri" w:cs="Calibri"/>
                <w:lang w:val="en-AU"/>
              </w:rPr>
              <w:t>directly involved in fossil fuel-based energy generation</w:t>
            </w:r>
            <w:r w:rsidRPr="00D203A0">
              <w:rPr>
                <w:rFonts w:ascii="Calibri" w:hAnsi="Calibri" w:cs="Calibri"/>
                <w:lang w:val="en-AU"/>
              </w:rPr>
              <w:t>, particularly in the coal and gas sectors. While the Act does not impose regulatory compliance on a broad range of businesses, it does engage with </w:t>
            </w:r>
            <w:r w:rsidRPr="008A2CBA">
              <w:rPr>
                <w:rFonts w:ascii="Calibri" w:hAnsi="Calibri" w:cs="Calibri"/>
                <w:lang w:val="en-AU"/>
              </w:rPr>
              <w:t>dependent employers</w:t>
            </w:r>
            <w:r w:rsidRPr="00D203A0">
              <w:rPr>
                <w:rFonts w:ascii="Calibri" w:hAnsi="Calibri" w:cs="Calibri"/>
                <w:lang w:val="en-AU"/>
              </w:rPr>
              <w:t>, </w:t>
            </w:r>
            <w:r w:rsidRPr="008A2CBA">
              <w:rPr>
                <w:rFonts w:ascii="Calibri" w:hAnsi="Calibri" w:cs="Calibri"/>
                <w:lang w:val="en-AU"/>
              </w:rPr>
              <w:t>receiving employers</w:t>
            </w:r>
            <w:r w:rsidRPr="00D203A0">
              <w:rPr>
                <w:rFonts w:ascii="Calibri" w:hAnsi="Calibri" w:cs="Calibri"/>
                <w:lang w:val="en-AU"/>
              </w:rPr>
              <w:t>, and </w:t>
            </w:r>
            <w:r w:rsidRPr="008A2CBA">
              <w:rPr>
                <w:rFonts w:ascii="Calibri" w:hAnsi="Calibri" w:cs="Calibri"/>
                <w:lang w:val="en-AU"/>
              </w:rPr>
              <w:t>regional stakeholders</w:t>
            </w:r>
            <w:r w:rsidRPr="00D203A0">
              <w:rPr>
                <w:rFonts w:ascii="Calibri" w:hAnsi="Calibri" w:cs="Calibri"/>
                <w:lang w:val="en-AU"/>
              </w:rPr>
              <w:t> to manage the transition, making their participation </w:t>
            </w:r>
            <w:r w:rsidRPr="008A2CBA">
              <w:rPr>
                <w:rFonts w:ascii="Calibri" w:hAnsi="Calibri" w:cs="Calibri"/>
                <w:lang w:val="en-AU"/>
              </w:rPr>
              <w:t>voluntary but encouraged</w:t>
            </w:r>
            <w:r w:rsidRPr="00D203A0">
              <w:rPr>
                <w:rFonts w:ascii="Calibri" w:hAnsi="Calibri" w:cs="Calibri"/>
                <w:lang w:val="en-AU"/>
              </w:rPr>
              <w:t> within the scope of the Authority’s support programs</w:t>
            </w:r>
            <w:r>
              <w:rPr>
                <w:rFonts w:ascii="Calibri" w:hAnsi="Calibri" w:cs="Calibri"/>
                <w:lang w:val="en-AU"/>
              </w:rPr>
              <w: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933328"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33328" w:rsidRDefault="004F276F" w:rsidP="00C37D48">
            <w:pPr>
              <w:rPr>
                <w:rFonts w:ascii="Calibri" w:hAnsi="Calibri" w:cs="Calibri"/>
                <w:lang w:val="fr-FR"/>
              </w:rPr>
            </w:pPr>
            <w:r w:rsidRPr="00933328">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33328" w:rsidRDefault="004F276F" w:rsidP="00C37D48">
            <w:pPr>
              <w:rPr>
                <w:rFonts w:ascii="Calibri" w:hAnsi="Calibri" w:cs="Calibri"/>
                <w:lang w:val="fr-FR"/>
              </w:rPr>
            </w:pPr>
          </w:p>
        </w:tc>
      </w:tr>
      <w:tr w:rsidR="004F276F" w:rsidRPr="0093332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668A7C8C" w:rsidR="004F276F" w:rsidRPr="00C37D48" w:rsidRDefault="005934AF"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58845E2" w:rsidR="004F276F" w:rsidRPr="00C37D48" w:rsidRDefault="00B9448E"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0E582AD9"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6E3A8A2" w:rsidR="004F276F" w:rsidRPr="00C37D48" w:rsidRDefault="005934AF"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5D255903" w:rsidR="001F30DE" w:rsidRPr="00C37D48" w:rsidRDefault="005934AF"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6CA1899" w:rsidR="001F30DE" w:rsidRPr="00C37D48" w:rsidRDefault="00B9448E"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F66D36F" w:rsidR="001F30DE" w:rsidRPr="00C37D48" w:rsidRDefault="00B9448E"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21E862B" w:rsidR="004F48E8" w:rsidRPr="00C37D48" w:rsidRDefault="00B9448E"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680DD844" w:rsidR="000A1365" w:rsidRPr="00C37D48" w:rsidRDefault="00B9448E"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98DBF24" w:rsidR="004A4C51" w:rsidRPr="00C37D48" w:rsidRDefault="00BA4C7F" w:rsidP="00C37D48">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C109487" w:rsidR="00890032" w:rsidRPr="00C37D48" w:rsidRDefault="00BA4C7F" w:rsidP="00C37D48">
            <w:pPr>
              <w:rPr>
                <w:rFonts w:ascii="Calibri" w:hAnsi="Calibri" w:cs="Calibri"/>
              </w:rPr>
            </w:pPr>
            <w:r>
              <w:rPr>
                <w:rFonts w:ascii="Calibri" w:hAnsi="Calibri" w:cs="Calibri"/>
              </w:rPr>
              <w:t>No</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31ED9C9" w:rsidR="00B610C2" w:rsidRPr="00610F28" w:rsidRDefault="00BA4C7F"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195A639" w:rsidR="00B610C2" w:rsidRPr="00610F28" w:rsidRDefault="00BA4C7F"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516A702" w:rsidR="00B610C2" w:rsidRPr="00610F28" w:rsidRDefault="00BA4C7F"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602DE02" w:rsidR="00B610C2" w:rsidRPr="00610F28" w:rsidRDefault="00BA4C7F"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111E174" w:rsidR="00B610C2" w:rsidRPr="00610F28" w:rsidRDefault="00BA4C7F"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70BB56A" w:rsidR="00B610C2" w:rsidRPr="00610F28" w:rsidRDefault="00BA4C7F"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3B7BCF" w:rsidR="00B610C2" w:rsidRPr="00610F28" w:rsidRDefault="00BA4C7F"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009A3B1" w:rsidR="00B610C2" w:rsidRPr="00610F28" w:rsidRDefault="00BA4C7F"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4CD9A1EE" w:rsidR="00B610C2" w:rsidRPr="00610F28" w:rsidRDefault="00BA4C7F"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425FF20" w:rsidR="00B610C2" w:rsidRPr="00610F28" w:rsidRDefault="00BA4C7F"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50B95C65" w:rsidR="00B610C2" w:rsidRPr="00610F28" w:rsidRDefault="00BA4C7F"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9333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33328" w:rsidRDefault="00C66EE0" w:rsidP="00610F28">
            <w:pPr>
              <w:rPr>
                <w:rFonts w:ascii="Calibri" w:hAnsi="Calibri" w:cs="Calibri"/>
                <w:lang w:val="fr-FR"/>
              </w:rPr>
            </w:pPr>
            <w:r w:rsidRPr="00933328">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33328" w:rsidRDefault="00C66EE0" w:rsidP="00610F28">
            <w:pPr>
              <w:rPr>
                <w:rFonts w:ascii="Calibri" w:hAnsi="Calibri" w:cs="Calibri"/>
                <w:lang w:val="fr-FR"/>
              </w:rPr>
            </w:pPr>
          </w:p>
        </w:tc>
      </w:tr>
      <w:tr w:rsidR="00241257" w:rsidRPr="0093332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933328"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933328" w:rsidRDefault="00092534" w:rsidP="00CF2E7C">
            <w:pPr>
              <w:rPr>
                <w:rFonts w:ascii="Calibri" w:hAnsi="Calibri" w:cs="Calibri"/>
                <w:lang w:val="fr-FR"/>
              </w:rPr>
            </w:pPr>
            <w:r w:rsidRPr="00933328">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33328" w:rsidRDefault="00092534" w:rsidP="00CF2E7C">
            <w:pPr>
              <w:rPr>
                <w:rFonts w:ascii="Calibri" w:hAnsi="Calibri" w:cs="Calibri"/>
                <w:lang w:val="fr-FR"/>
              </w:rPr>
            </w:pPr>
          </w:p>
        </w:tc>
      </w:tr>
      <w:tr w:rsidR="00092534" w:rsidRPr="00933328"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33328"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33328" w:rsidRDefault="00DD292A" w:rsidP="00CF2E7C">
            <w:pPr>
              <w:rPr>
                <w:rFonts w:ascii="Calibri" w:hAnsi="Calibri" w:cs="Calibri"/>
                <w:lang w:val="fr-FR"/>
              </w:rPr>
            </w:pPr>
            <w:r w:rsidRPr="00933328">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33328" w:rsidRDefault="00DD292A" w:rsidP="00CF2E7C">
            <w:pPr>
              <w:rPr>
                <w:rFonts w:ascii="Calibri" w:hAnsi="Calibri" w:cs="Calibri"/>
                <w:lang w:val="fr-FR"/>
              </w:rPr>
            </w:pPr>
          </w:p>
        </w:tc>
      </w:tr>
      <w:tr w:rsidR="00DD292A" w:rsidRPr="00933328"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933328"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33328" w:rsidRDefault="002F0752" w:rsidP="00CF2E7C">
            <w:pPr>
              <w:rPr>
                <w:rFonts w:ascii="Calibri" w:hAnsi="Calibri" w:cs="Calibri"/>
                <w:lang w:val="fr-FR"/>
              </w:rPr>
            </w:pPr>
            <w:r w:rsidRPr="00933328">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33328" w:rsidRDefault="002F0752" w:rsidP="00CF2E7C">
            <w:pPr>
              <w:rPr>
                <w:rFonts w:ascii="Calibri" w:hAnsi="Calibri" w:cs="Calibri"/>
                <w:lang w:val="fr-FR"/>
              </w:rPr>
            </w:pPr>
          </w:p>
        </w:tc>
      </w:tr>
      <w:tr w:rsidR="002F0752" w:rsidRPr="00933328"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proofErr w:type="spellStart"/>
      <w:r w:rsidRPr="26567C6B">
        <w:rPr>
          <w:rFonts w:eastAsia="Arial"/>
        </w:rPr>
        <w:t>LDAR</w:t>
      </w:r>
      <w:proofErr w:type="spellEnd"/>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proofErr w:type="spellStart"/>
            <w:r w:rsidRPr="00CF2E7C">
              <w:rPr>
                <w:rFonts w:ascii="Calibri" w:eastAsia="Calibri" w:hAnsi="Calibri" w:cs="Calibri"/>
                <w:b/>
                <w:bCs/>
                <w:color w:val="7030A0"/>
              </w:rPr>
              <w:t>LDAR</w:t>
            </w:r>
            <w:proofErr w:type="spellEnd"/>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proofErr w:type="spellStart"/>
            <w:r w:rsidR="04931AA5" w:rsidRPr="00CF2E7C">
              <w:rPr>
                <w:rFonts w:ascii="Calibri" w:eastAsia="Calibri" w:hAnsi="Calibri" w:cs="Calibri"/>
                <w:b/>
                <w:bCs/>
                <w:color w:val="7030A0"/>
              </w:rPr>
              <w:t>LDAR</w:t>
            </w:r>
            <w:proofErr w:type="spellEnd"/>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proofErr w:type="spellStart"/>
            <w:r w:rsidR="66272D1A" w:rsidRPr="00CF2E7C">
              <w:rPr>
                <w:rFonts w:ascii="Calibri" w:eastAsia="Calibri" w:hAnsi="Calibri" w:cs="Calibri"/>
                <w:b/>
                <w:color w:val="7030A0"/>
              </w:rPr>
              <w:t>LDAR</w:t>
            </w:r>
            <w:proofErr w:type="spellEnd"/>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proofErr w:type="spellStart"/>
            <w:r w:rsidR="3675C8BF" w:rsidRPr="00CF2E7C">
              <w:rPr>
                <w:rFonts w:ascii="Calibri" w:eastAsia="Calibri" w:hAnsi="Calibri" w:cs="Calibri"/>
                <w:b/>
                <w:color w:val="7030A0"/>
              </w:rPr>
              <w:t>LDAR</w:t>
            </w:r>
            <w:proofErr w:type="spellEnd"/>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4F0138">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C05DF1" w14:textId="77777777" w:rsidR="00C04CB5" w:rsidRDefault="00C04CB5" w:rsidP="00874E39">
      <w:r>
        <w:separator/>
      </w:r>
    </w:p>
  </w:endnote>
  <w:endnote w:type="continuationSeparator" w:id="0">
    <w:p w14:paraId="7C842D8D" w14:textId="77777777" w:rsidR="00C04CB5" w:rsidRDefault="00C04CB5" w:rsidP="00874E39">
      <w:r>
        <w:continuationSeparator/>
      </w:r>
    </w:p>
  </w:endnote>
  <w:endnote w:type="continuationNotice" w:id="1">
    <w:p w14:paraId="748EAC26" w14:textId="77777777" w:rsidR="00C04CB5" w:rsidRDefault="00C04C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4695D092" w:rsidR="00874E39" w:rsidRDefault="00ED6A22" w:rsidP="00874E39">
    <w:pPr>
      <w:pStyle w:val="Footer"/>
      <w:ind w:right="360"/>
    </w:pPr>
    <w:fldSimple w:instr=" DOCPROPERTY DocumentID \* MERGEFORMAT ">
      <w:r w:rsidRPr="00ED6A22">
        <w:rPr>
          <w:color w:val="191919"/>
          <w:sz w:val="13"/>
        </w:rPr>
        <w:t>ME_954005949_2</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p w14:paraId="0DA4FD9F" w14:textId="2EE4DEA5" w:rsidR="00225070" w:rsidRDefault="00ED6A22" w:rsidP="00874E39">
    <w:pPr>
      <w:pStyle w:val="Footer"/>
      <w:ind w:right="360"/>
    </w:pPr>
    <w:fldSimple w:instr=" DOCPROPERTY DocumentID \* MERGEFORMAT ">
      <w:r w:rsidRPr="00ED6A22">
        <w:rPr>
          <w:color w:val="191919"/>
          <w:sz w:val="13"/>
        </w:rPr>
        <w:t>ME_954005949_2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B0EEEF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p w14:paraId="40F94733" w14:textId="0050D46D" w:rsidR="00225070" w:rsidRPr="004C3A52" w:rsidRDefault="00ED6A22" w:rsidP="004C3A52">
    <w:pPr>
      <w:pStyle w:val="Footer"/>
      <w:jc w:val="right"/>
      <w:rPr>
        <w:b/>
        <w:bCs/>
        <w:color w:val="18233F"/>
        <w:sz w:val="32"/>
        <w:szCs w:val="32"/>
      </w:rPr>
    </w:pPr>
    <w:r>
      <w:rPr>
        <w:b/>
        <w:bCs/>
        <w:color w:val="18233F"/>
        <w:sz w:val="32"/>
        <w:szCs w:val="32"/>
      </w:rPr>
      <w:fldChar w:fldCharType="begin"/>
    </w:r>
    <w:r>
      <w:rPr>
        <w:b/>
        <w:bCs/>
        <w:color w:val="18233F"/>
        <w:sz w:val="32"/>
        <w:szCs w:val="32"/>
      </w:rPr>
      <w:instrText xml:space="preserve"> DOCPROPERTY DocumentID \* MERGEFORMAT </w:instrText>
    </w:r>
    <w:r>
      <w:rPr>
        <w:b/>
        <w:bCs/>
        <w:color w:val="18233F"/>
        <w:sz w:val="32"/>
        <w:szCs w:val="32"/>
      </w:rPr>
      <w:fldChar w:fldCharType="separate"/>
    </w:r>
    <w:r w:rsidRPr="00ED6A22">
      <w:rPr>
        <w:b/>
        <w:bCs/>
        <w:color w:val="191919"/>
        <w:sz w:val="13"/>
        <w:szCs w:val="32"/>
      </w:rPr>
      <w:t>ME_954005949_2</w:t>
    </w:r>
    <w:r>
      <w:rPr>
        <w:b/>
        <w:bCs/>
        <w:color w:val="18233F"/>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090AAF" w14:textId="77777777" w:rsidR="00C04CB5" w:rsidRDefault="00C04CB5" w:rsidP="00874E39">
      <w:r>
        <w:separator/>
      </w:r>
    </w:p>
  </w:footnote>
  <w:footnote w:type="continuationSeparator" w:id="0">
    <w:p w14:paraId="4F9DA702" w14:textId="77777777" w:rsidR="00C04CB5" w:rsidRDefault="00C04CB5" w:rsidP="00874E39">
      <w:r>
        <w:continuationSeparator/>
      </w:r>
    </w:p>
  </w:footnote>
  <w:footnote w:type="continuationNotice" w:id="1">
    <w:p w14:paraId="664F4EED" w14:textId="77777777" w:rsidR="00C04CB5" w:rsidRDefault="00C04C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332C4C" w14:textId="77777777" w:rsidR="00225070" w:rsidRDefault="002250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FA5598" w14:textId="77777777" w:rsidR="00225070" w:rsidRDefault="0022507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7"/>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D06"/>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793"/>
    <w:rsid w:val="000F1C0F"/>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553"/>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070"/>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6F4"/>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C15"/>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7E"/>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8DC"/>
    <w:rsid w:val="003B4DD6"/>
    <w:rsid w:val="003B4F81"/>
    <w:rsid w:val="003B539A"/>
    <w:rsid w:val="003B5B6C"/>
    <w:rsid w:val="003B66F6"/>
    <w:rsid w:val="003B7854"/>
    <w:rsid w:val="003C16DA"/>
    <w:rsid w:val="003C5BA2"/>
    <w:rsid w:val="003D17C7"/>
    <w:rsid w:val="003D1B43"/>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A87"/>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138"/>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E60"/>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4AF"/>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F14"/>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29C"/>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E55"/>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59A"/>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CBA"/>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631"/>
    <w:rsid w:val="00921319"/>
    <w:rsid w:val="00921386"/>
    <w:rsid w:val="00926863"/>
    <w:rsid w:val="00926D7F"/>
    <w:rsid w:val="009307C9"/>
    <w:rsid w:val="0093086E"/>
    <w:rsid w:val="00931F08"/>
    <w:rsid w:val="00932230"/>
    <w:rsid w:val="00933328"/>
    <w:rsid w:val="0093344C"/>
    <w:rsid w:val="009338F2"/>
    <w:rsid w:val="00933F3C"/>
    <w:rsid w:val="00934657"/>
    <w:rsid w:val="009370E9"/>
    <w:rsid w:val="00937D9B"/>
    <w:rsid w:val="00940E65"/>
    <w:rsid w:val="0094115B"/>
    <w:rsid w:val="00946028"/>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846"/>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D03"/>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F39"/>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8E"/>
    <w:rsid w:val="00B944C1"/>
    <w:rsid w:val="00B9495C"/>
    <w:rsid w:val="00B94A0E"/>
    <w:rsid w:val="00B95827"/>
    <w:rsid w:val="00B95988"/>
    <w:rsid w:val="00BA01DD"/>
    <w:rsid w:val="00BA08E0"/>
    <w:rsid w:val="00BA118E"/>
    <w:rsid w:val="00BA1D39"/>
    <w:rsid w:val="00BA3247"/>
    <w:rsid w:val="00BA4481"/>
    <w:rsid w:val="00BA4C7F"/>
    <w:rsid w:val="00BA4FFC"/>
    <w:rsid w:val="00BA5207"/>
    <w:rsid w:val="00BA5A30"/>
    <w:rsid w:val="00BA6260"/>
    <w:rsid w:val="00BA62BE"/>
    <w:rsid w:val="00BA6901"/>
    <w:rsid w:val="00BA72DC"/>
    <w:rsid w:val="00BA76F5"/>
    <w:rsid w:val="00BA7960"/>
    <w:rsid w:val="00BA7F63"/>
    <w:rsid w:val="00BB017D"/>
    <w:rsid w:val="00BB0CCF"/>
    <w:rsid w:val="00BB3989"/>
    <w:rsid w:val="00BB3CF8"/>
    <w:rsid w:val="00BB44CD"/>
    <w:rsid w:val="00BB58AA"/>
    <w:rsid w:val="00BB667C"/>
    <w:rsid w:val="00BB7964"/>
    <w:rsid w:val="00BC0309"/>
    <w:rsid w:val="00BC06CB"/>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CB5"/>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765"/>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3A0"/>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437"/>
    <w:rsid w:val="00E636E4"/>
    <w:rsid w:val="00E63AC5"/>
    <w:rsid w:val="00E64AEA"/>
    <w:rsid w:val="00E65D70"/>
    <w:rsid w:val="00E6706E"/>
    <w:rsid w:val="00E67095"/>
    <w:rsid w:val="00E67A04"/>
    <w:rsid w:val="00E7070D"/>
    <w:rsid w:val="00E70A6A"/>
    <w:rsid w:val="00E71E7C"/>
    <w:rsid w:val="00E727D2"/>
    <w:rsid w:val="00E73270"/>
    <w:rsid w:val="00E7355A"/>
    <w:rsid w:val="00E73663"/>
    <w:rsid w:val="00E738CA"/>
    <w:rsid w:val="00E7486E"/>
    <w:rsid w:val="00E75B8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49CE"/>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A22"/>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773929">
      <w:bodyDiv w:val="1"/>
      <w:marLeft w:val="0"/>
      <w:marRight w:val="0"/>
      <w:marTop w:val="0"/>
      <w:marBottom w:val="0"/>
      <w:divBdr>
        <w:top w:val="none" w:sz="0" w:space="0" w:color="auto"/>
        <w:left w:val="none" w:sz="0" w:space="0" w:color="auto"/>
        <w:bottom w:val="none" w:sz="0" w:space="0" w:color="auto"/>
        <w:right w:val="none" w:sz="0" w:space="0" w:color="auto"/>
      </w:divBdr>
    </w:div>
    <w:div w:id="149291770">
      <w:bodyDiv w:val="1"/>
      <w:marLeft w:val="0"/>
      <w:marRight w:val="0"/>
      <w:marTop w:val="0"/>
      <w:marBottom w:val="0"/>
      <w:divBdr>
        <w:top w:val="none" w:sz="0" w:space="0" w:color="auto"/>
        <w:left w:val="none" w:sz="0" w:space="0" w:color="auto"/>
        <w:bottom w:val="none" w:sz="0" w:space="0" w:color="auto"/>
        <w:right w:val="none" w:sz="0" w:space="0" w:color="auto"/>
      </w:divBdr>
      <w:divsChild>
        <w:div w:id="1881162260">
          <w:marLeft w:val="0"/>
          <w:marRight w:val="0"/>
          <w:marTop w:val="0"/>
          <w:marBottom w:val="0"/>
          <w:divBdr>
            <w:top w:val="none" w:sz="0" w:space="0" w:color="auto"/>
            <w:left w:val="none" w:sz="0" w:space="0" w:color="auto"/>
            <w:bottom w:val="none" w:sz="0" w:space="0" w:color="auto"/>
            <w:right w:val="none" w:sz="0" w:space="0" w:color="auto"/>
          </w:divBdr>
        </w:div>
      </w:divsChild>
    </w:div>
    <w:div w:id="42607740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344367">
      <w:bodyDiv w:val="1"/>
      <w:marLeft w:val="0"/>
      <w:marRight w:val="0"/>
      <w:marTop w:val="0"/>
      <w:marBottom w:val="0"/>
      <w:divBdr>
        <w:top w:val="none" w:sz="0" w:space="0" w:color="auto"/>
        <w:left w:val="none" w:sz="0" w:space="0" w:color="auto"/>
        <w:bottom w:val="none" w:sz="0" w:space="0" w:color="auto"/>
        <w:right w:val="none" w:sz="0" w:space="0" w:color="auto"/>
      </w:divBdr>
      <w:divsChild>
        <w:div w:id="1015838026">
          <w:marLeft w:val="0"/>
          <w:marRight w:val="0"/>
          <w:marTop w:val="0"/>
          <w:marBottom w:val="0"/>
          <w:divBdr>
            <w:top w:val="none" w:sz="0" w:space="0" w:color="auto"/>
            <w:left w:val="none" w:sz="0" w:space="0" w:color="auto"/>
            <w:bottom w:val="none" w:sz="0" w:space="0" w:color="auto"/>
            <w:right w:val="none" w:sz="0" w:space="0" w:color="auto"/>
          </w:divBdr>
        </w:div>
      </w:divsChild>
    </w:div>
    <w:div w:id="1780710805">
      <w:bodyDiv w:val="1"/>
      <w:marLeft w:val="0"/>
      <w:marRight w:val="0"/>
      <w:marTop w:val="0"/>
      <w:marBottom w:val="0"/>
      <w:divBdr>
        <w:top w:val="none" w:sz="0" w:space="0" w:color="auto"/>
        <w:left w:val="none" w:sz="0" w:space="0" w:color="auto"/>
        <w:bottom w:val="none" w:sz="0" w:space="0" w:color="auto"/>
        <w:right w:val="none" w:sz="0" w:space="0" w:color="auto"/>
      </w:divBdr>
      <w:divsChild>
        <w:div w:id="1533113091">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30081823/https:/www.legislation.gov.au/C2024A00085/asmade/tex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112</Pages>
  <Words>23288</Words>
  <Characters>124825</Characters>
  <Application>Microsoft Office Word</Application>
  <DocSecurity>0</DocSecurity>
  <Lines>3467</Lines>
  <Paragraphs>1851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MinterEllison</cp:lastModifiedBy>
  <cp:revision>5</cp:revision>
  <cp:lastPrinted>2025-03-21T00:14:00Z</cp:lastPrinted>
  <dcterms:created xsi:type="dcterms:W3CDTF">2025-07-22T00:19:00Z</dcterms:created>
  <dcterms:modified xsi:type="dcterms:W3CDTF">2025-07-22T00:21:00Z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FooterType">
    <vt:lpwstr>1</vt:lpwstr>
  </property>
  <property fmtid="{D5CDD505-2E9C-101B-9397-08002B2CF9AE}" pid="5" name="DocumentID">
    <vt:lpwstr>ME_954005949_2</vt:lpwstr>
  </property>
  <property fmtid="{D5CDD505-2E9C-101B-9397-08002B2CF9AE}" pid="6" name="Custom1">
    <vt:lpwstr>1543559</vt:lpwstr>
  </property>
</Properties>
</file>